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9A" w:rsidRPr="008263C4" w:rsidRDefault="00071D9A">
      <w:pPr>
        <w:pStyle w:val="2"/>
        <w:rPr>
          <w:rFonts w:ascii="宋体" w:eastAsia="宋体" w:hAnsi="宋体"/>
          <w:sz w:val="21"/>
          <w:szCs w:val="21"/>
        </w:rPr>
      </w:pPr>
      <w:r w:rsidRPr="008263C4">
        <w:rPr>
          <w:rFonts w:ascii="宋体" w:eastAsia="宋体" w:hAnsi="宋体" w:hint="eastAsia"/>
          <w:sz w:val="21"/>
          <w:szCs w:val="21"/>
        </w:rPr>
        <w:t>附件1：</w:t>
      </w:r>
    </w:p>
    <w:p w:rsidR="000C1670" w:rsidRPr="008263C4" w:rsidRDefault="00EC1D7D">
      <w:pPr>
        <w:pStyle w:val="2"/>
        <w:rPr>
          <w:rFonts w:ascii="宋体" w:eastAsia="宋体" w:hAnsi="宋体"/>
          <w:sz w:val="21"/>
          <w:szCs w:val="21"/>
        </w:rPr>
      </w:pPr>
      <w:r w:rsidRPr="008263C4">
        <w:rPr>
          <w:rFonts w:ascii="宋体" w:eastAsia="宋体" w:hAnsi="宋体" w:hint="eastAsia"/>
          <w:sz w:val="21"/>
          <w:szCs w:val="21"/>
        </w:rPr>
        <w:t>产品技术参数</w:t>
      </w:r>
    </w:p>
    <w:tbl>
      <w:tblPr>
        <w:tblStyle w:val="a3"/>
        <w:tblW w:w="978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7229"/>
        <w:gridCol w:w="709"/>
      </w:tblGrid>
      <w:tr w:rsidR="000C1670" w:rsidRPr="00826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0" w:rsidRPr="008263C4" w:rsidRDefault="00EC1D7D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8263C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670" w:rsidRPr="008263C4" w:rsidRDefault="00EC1D7D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8263C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670" w:rsidRPr="008263C4" w:rsidRDefault="00EC1D7D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8263C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主要技术参数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670" w:rsidRPr="008263C4" w:rsidRDefault="00EC1D7D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8263C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0C1670" w:rsidRPr="00826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70" w:rsidRPr="008263C4" w:rsidRDefault="00EC1D7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670" w:rsidRPr="008263C4" w:rsidRDefault="00EC1D7D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  <w:szCs w:val="20"/>
              </w:rPr>
              <w:t>项目财务管理系统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670" w:rsidRPr="008263C4" w:rsidRDefault="00EC1D7D">
            <w:pPr>
              <w:pStyle w:val="ListParagraph1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技术要求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B/S架构：全面支持H5架构，支持PC、PAD、手机等多端登录；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易开发性，灵活扩展性：具有强大的二次开发功能，可快速定制单据、工作流、流程、预警、报表等；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平台开放性：开放的webapi支持所有业务皆可接入，异构系统、企业微信、钉钉等；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多组织、多核算体系、多会计准则，多账簿实现同时支持事业单位、企业等不同的会计准则；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业财一体：通过智能会计平台，业务数据一键生成会计凭证；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高效的协同平台：通过工作流、预警平台，实现将需要处理的事务推送给指定人员，快速实现事找人的工作方式；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移动化：自有APP可以将所有业务单据移动化，可通过手机轻松办公；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支持云部署和私有部署：即支持SaaS部署模式，也支持本地服务器部署模式；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数据库支持S</w:t>
            </w:r>
            <w:r w:rsidRPr="008263C4">
              <w:rPr>
                <w:rFonts w:ascii="宋体" w:eastAsia="宋体" w:hAnsi="宋体"/>
                <w:kern w:val="0"/>
                <w:sz w:val="20"/>
              </w:rPr>
              <w:t>QLS</w:t>
            </w:r>
            <w:r w:rsidRPr="008263C4">
              <w:rPr>
                <w:rFonts w:ascii="宋体" w:eastAsia="宋体" w:hAnsi="宋体" w:hint="eastAsia"/>
                <w:kern w:val="0"/>
                <w:sz w:val="20"/>
              </w:rPr>
              <w:t>erver和Oracle；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支持数据中心、应用服务器、数据服务器独立部署，支持多应用服务器、数据服务器集群部署；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系统部署角色</w:t>
            </w:r>
          </w:p>
          <w:tbl>
            <w:tblPr>
              <w:tblW w:w="71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6"/>
              <w:gridCol w:w="3686"/>
              <w:gridCol w:w="2527"/>
            </w:tblGrid>
            <w:tr w:rsidR="000C1670" w:rsidRPr="008263C4">
              <w:trPr>
                <w:cantSplit/>
                <w:trHeight w:val="394"/>
                <w:jc w:val="center"/>
              </w:trPr>
              <w:tc>
                <w:tcPr>
                  <w:tcW w:w="956" w:type="dxa"/>
                  <w:shd w:val="clear" w:color="auto" w:fill="B3B3B3"/>
                  <w:vAlign w:val="center"/>
                </w:tcPr>
                <w:p w:rsidR="000C1670" w:rsidRPr="008263C4" w:rsidRDefault="00EC1D7D">
                  <w:pPr>
                    <w:spacing w:line="360" w:lineRule="auto"/>
                    <w:jc w:val="center"/>
                    <w:rPr>
                      <w:rFonts w:ascii="宋体" w:eastAsia="宋体" w:hAnsi="宋体" w:cs="Times New Roman"/>
                      <w:b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b/>
                      <w:kern w:val="44"/>
                      <w:szCs w:val="24"/>
                    </w:rPr>
                    <w:t>角色</w:t>
                  </w:r>
                </w:p>
              </w:tc>
              <w:tc>
                <w:tcPr>
                  <w:tcW w:w="3686" w:type="dxa"/>
                  <w:shd w:val="clear" w:color="auto" w:fill="B3B3B3"/>
                  <w:vAlign w:val="center"/>
                </w:tcPr>
                <w:p w:rsidR="000C1670" w:rsidRPr="008263C4" w:rsidRDefault="00EC1D7D">
                  <w:pPr>
                    <w:spacing w:line="360" w:lineRule="auto"/>
                    <w:jc w:val="center"/>
                    <w:rPr>
                      <w:rFonts w:ascii="宋体" w:eastAsia="宋体" w:hAnsi="宋体" w:cs="Times New Roman"/>
                      <w:b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b/>
                      <w:kern w:val="44"/>
                      <w:szCs w:val="24"/>
                    </w:rPr>
                    <w:t>定义</w:t>
                  </w:r>
                </w:p>
              </w:tc>
              <w:tc>
                <w:tcPr>
                  <w:tcW w:w="2527" w:type="dxa"/>
                  <w:shd w:val="clear" w:color="auto" w:fill="B3B3B3"/>
                </w:tcPr>
                <w:p w:rsidR="000C1670" w:rsidRPr="008263C4" w:rsidRDefault="00EC1D7D">
                  <w:pPr>
                    <w:spacing w:line="360" w:lineRule="auto"/>
                    <w:jc w:val="center"/>
                    <w:rPr>
                      <w:rFonts w:ascii="宋体" w:eastAsia="宋体" w:hAnsi="宋体" w:cs="Times New Roman"/>
                      <w:b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b/>
                      <w:kern w:val="44"/>
                      <w:szCs w:val="24"/>
                    </w:rPr>
                    <w:t>主要第三方组件</w:t>
                  </w:r>
                </w:p>
              </w:tc>
            </w:tr>
            <w:tr w:rsidR="000C1670" w:rsidRPr="008263C4">
              <w:trPr>
                <w:cantSplit/>
                <w:trHeight w:val="301"/>
                <w:jc w:val="center"/>
              </w:trPr>
              <w:tc>
                <w:tcPr>
                  <w:tcW w:w="956" w:type="dxa"/>
                  <w:vAlign w:val="center"/>
                </w:tcPr>
                <w:p w:rsidR="000C1670" w:rsidRPr="008263C4" w:rsidRDefault="00EC1D7D">
                  <w:pPr>
                    <w:spacing w:line="360" w:lineRule="auto"/>
                    <w:jc w:val="center"/>
                    <w:rPr>
                      <w:rFonts w:ascii="宋体" w:eastAsia="宋体" w:hAnsi="宋体" w:cs="Times New Roman"/>
                      <w:b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b/>
                      <w:kern w:val="44"/>
                      <w:szCs w:val="24"/>
                    </w:rPr>
                    <w:t>应用服务器</w:t>
                  </w:r>
                </w:p>
              </w:tc>
              <w:tc>
                <w:tcPr>
                  <w:tcW w:w="3686" w:type="dxa"/>
                </w:tcPr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提供『系统业务站点』，一般用户通过访问应用服务器来使用系统。应用服务器可访问的账套列表、用户许可都是管理中心提供的。</w:t>
                  </w:r>
                </w:p>
              </w:tc>
              <w:tc>
                <w:tcPr>
                  <w:tcW w:w="2527" w:type="dxa"/>
                </w:tcPr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/>
                      <w:kern w:val="44"/>
                      <w:szCs w:val="24"/>
                    </w:rPr>
                    <w:t>IIS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（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4"/>
                    </w:rPr>
                    <w:t>7.5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～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4"/>
                    </w:rPr>
                    <w:t xml:space="preserve"> 10.0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）</w:t>
                  </w:r>
                </w:p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/>
                      <w:kern w:val="44"/>
                      <w:szCs w:val="24"/>
                    </w:rPr>
                    <w:t>.NET Framework 4.0 / 4.5</w:t>
                  </w:r>
                </w:p>
              </w:tc>
            </w:tr>
            <w:tr w:rsidR="000C1670" w:rsidRPr="008263C4">
              <w:trPr>
                <w:cantSplit/>
                <w:trHeight w:val="301"/>
                <w:jc w:val="center"/>
              </w:trPr>
              <w:tc>
                <w:tcPr>
                  <w:tcW w:w="956" w:type="dxa"/>
                  <w:vAlign w:val="center"/>
                </w:tcPr>
                <w:p w:rsidR="000C1670" w:rsidRPr="008263C4" w:rsidRDefault="00EC1D7D">
                  <w:pPr>
                    <w:spacing w:line="360" w:lineRule="auto"/>
                    <w:jc w:val="center"/>
                    <w:rPr>
                      <w:rFonts w:ascii="宋体" w:eastAsia="宋体" w:hAnsi="宋体" w:cs="Times New Roman"/>
                      <w:b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b/>
                      <w:kern w:val="44"/>
                      <w:szCs w:val="24"/>
                    </w:rPr>
                    <w:t>管理中心</w:t>
                  </w:r>
                </w:p>
              </w:tc>
              <w:tc>
                <w:tcPr>
                  <w:tcW w:w="3686" w:type="dxa"/>
                </w:tcPr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提供『系统管理站点』，仅供管理员访问，用于管理账套数据库和应用服务器，用户许可管理也在管理中心进行。</w:t>
                  </w:r>
                </w:p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管理中心和应用服务器是一对多关系：一个管理中心可管理多个应用服务器；每个应用服务器只能注册到一个管理中心。</w:t>
                  </w:r>
                </w:p>
              </w:tc>
              <w:tc>
                <w:tcPr>
                  <w:tcW w:w="2527" w:type="dxa"/>
                </w:tcPr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1"/>
                    </w:rPr>
                  </w:pP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IIS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（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7.5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～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 xml:space="preserve"> 10.0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）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 xml:space="preserve"> </w:t>
                  </w:r>
                </w:p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1"/>
                    </w:rPr>
                  </w:pP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.NET Framework 4.0 / 4.5</w:t>
                  </w:r>
                </w:p>
                <w:p w:rsidR="000C1670" w:rsidRPr="008263C4" w:rsidRDefault="000C1670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 w:val="18"/>
                      <w:szCs w:val="24"/>
                    </w:rPr>
                  </w:pPr>
                </w:p>
              </w:tc>
            </w:tr>
            <w:tr w:rsidR="000C1670" w:rsidRPr="008263C4">
              <w:trPr>
                <w:cantSplit/>
                <w:trHeight w:val="301"/>
                <w:jc w:val="center"/>
              </w:trPr>
              <w:tc>
                <w:tcPr>
                  <w:tcW w:w="956" w:type="dxa"/>
                  <w:vAlign w:val="center"/>
                </w:tcPr>
                <w:p w:rsidR="000C1670" w:rsidRPr="008263C4" w:rsidRDefault="00EC1D7D">
                  <w:pPr>
                    <w:spacing w:line="360" w:lineRule="auto"/>
                    <w:jc w:val="center"/>
                    <w:rPr>
                      <w:rFonts w:ascii="宋体" w:eastAsia="宋体" w:hAnsi="宋体" w:cs="Times New Roman"/>
                      <w:b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b/>
                      <w:kern w:val="44"/>
                      <w:szCs w:val="24"/>
                    </w:rPr>
                    <w:lastRenderedPageBreak/>
                    <w:t>账套数据库</w:t>
                  </w:r>
                </w:p>
              </w:tc>
              <w:tc>
                <w:tcPr>
                  <w:tcW w:w="3686" w:type="dxa"/>
                </w:tcPr>
                <w:p w:rsidR="000C1670" w:rsidRPr="008263C4" w:rsidRDefault="008722D0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提供『账套』给应用服务器访问。该角色不需安装任何</w:t>
                  </w:r>
                  <w:r w:rsidR="00EC1D7D"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组件，仅有数据库系统即可。</w:t>
                  </w:r>
                  <w:bookmarkStart w:id="0" w:name="_GoBack"/>
                  <w:bookmarkEnd w:id="0"/>
                </w:p>
              </w:tc>
              <w:tc>
                <w:tcPr>
                  <w:tcW w:w="2527" w:type="dxa"/>
                </w:tcPr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1"/>
                    </w:rPr>
                  </w:pP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SQL Server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（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4"/>
                    </w:rPr>
                    <w:t xml:space="preserve">2008 R2 / 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2012/ 2014/2016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）</w:t>
                  </w:r>
                </w:p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1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或</w:t>
                  </w:r>
                </w:p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1"/>
                    </w:rPr>
                  </w:pP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Oracle DB 11gR2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（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11.2.0.4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）</w:t>
                  </w:r>
                </w:p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Oracle DB 12c(12.2.0.1)</w:t>
                  </w:r>
                </w:p>
              </w:tc>
            </w:tr>
            <w:tr w:rsidR="000C1670" w:rsidRPr="008263C4">
              <w:trPr>
                <w:cantSplit/>
                <w:trHeight w:val="301"/>
                <w:jc w:val="center"/>
              </w:trPr>
              <w:tc>
                <w:tcPr>
                  <w:tcW w:w="956" w:type="dxa"/>
                  <w:vAlign w:val="center"/>
                </w:tcPr>
                <w:p w:rsidR="000C1670" w:rsidRPr="008263C4" w:rsidRDefault="00EC1D7D">
                  <w:pPr>
                    <w:spacing w:line="360" w:lineRule="auto"/>
                    <w:jc w:val="center"/>
                    <w:rPr>
                      <w:rFonts w:ascii="宋体" w:eastAsia="宋体" w:hAnsi="宋体" w:cs="Times New Roman"/>
                      <w:b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b/>
                      <w:kern w:val="44"/>
                      <w:szCs w:val="24"/>
                    </w:rPr>
                    <w:t>管理数据库</w:t>
                  </w:r>
                </w:p>
              </w:tc>
              <w:tc>
                <w:tcPr>
                  <w:tcW w:w="3686" w:type="dxa"/>
                </w:tcPr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提供『管理数据』给管理中心。该角色不需安装任何特定组件，仅有数据库系统即可。</w:t>
                  </w:r>
                </w:p>
              </w:tc>
              <w:tc>
                <w:tcPr>
                  <w:tcW w:w="2527" w:type="dxa"/>
                </w:tcPr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1"/>
                    </w:rPr>
                  </w:pP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SQL Server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（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4"/>
                    </w:rPr>
                    <w:t xml:space="preserve">2008 R2 / 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2012/ 2014/2016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）</w:t>
                  </w:r>
                </w:p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1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或</w:t>
                  </w:r>
                </w:p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1"/>
                    </w:rPr>
                  </w:pP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Oracle DB 11gR2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（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11.2.0.4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）</w:t>
                  </w:r>
                </w:p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Oracle DB 12c(12.2.0.1)</w:t>
                  </w:r>
                </w:p>
              </w:tc>
            </w:tr>
            <w:tr w:rsidR="000C1670" w:rsidRPr="008263C4">
              <w:trPr>
                <w:cantSplit/>
                <w:trHeight w:val="301"/>
                <w:jc w:val="center"/>
              </w:trPr>
              <w:tc>
                <w:tcPr>
                  <w:tcW w:w="956" w:type="dxa"/>
                  <w:vAlign w:val="center"/>
                </w:tcPr>
                <w:p w:rsidR="000C1670" w:rsidRPr="008263C4" w:rsidRDefault="00EC1D7D">
                  <w:pPr>
                    <w:spacing w:line="360" w:lineRule="auto"/>
                    <w:jc w:val="center"/>
                    <w:rPr>
                      <w:rFonts w:ascii="宋体" w:eastAsia="宋体" w:hAnsi="宋体" w:cs="Times New Roman"/>
                      <w:b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b/>
                      <w:kern w:val="44"/>
                      <w:szCs w:val="24"/>
                    </w:rPr>
                    <w:t>用户</w:t>
                  </w:r>
                </w:p>
              </w:tc>
              <w:tc>
                <w:tcPr>
                  <w:tcW w:w="3686" w:type="dxa"/>
                </w:tcPr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『一般用户』，通过浏览器或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4"/>
                    </w:rPr>
                    <w:t>WPF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客户端访问应用服务器。</w:t>
                  </w:r>
                </w:p>
              </w:tc>
              <w:tc>
                <w:tcPr>
                  <w:tcW w:w="2527" w:type="dxa"/>
                </w:tcPr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 w:val="18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微软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4"/>
                    </w:rPr>
                    <w:t>Silverlight 5.0</w:t>
                  </w:r>
                  <w:r w:rsidRPr="008263C4">
                    <w:rPr>
                      <w:rFonts w:ascii="宋体" w:eastAsia="宋体" w:hAnsi="宋体" w:cs="Times New Roman" w:hint="eastAsia"/>
                      <w:szCs w:val="18"/>
                    </w:rPr>
                    <w:t>对操作系统和浏览器版本的相关支持，以及Html5的访问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。</w:t>
                  </w:r>
                </w:p>
              </w:tc>
            </w:tr>
            <w:tr w:rsidR="000C1670" w:rsidRPr="008263C4">
              <w:trPr>
                <w:cantSplit/>
                <w:trHeight w:val="301"/>
                <w:jc w:val="center"/>
              </w:trPr>
              <w:tc>
                <w:tcPr>
                  <w:tcW w:w="956" w:type="dxa"/>
                  <w:vAlign w:val="center"/>
                </w:tcPr>
                <w:p w:rsidR="000C1670" w:rsidRPr="008263C4" w:rsidRDefault="00EC1D7D">
                  <w:pPr>
                    <w:spacing w:line="360" w:lineRule="auto"/>
                    <w:jc w:val="center"/>
                    <w:rPr>
                      <w:rFonts w:ascii="宋体" w:eastAsia="宋体" w:hAnsi="宋体" w:cs="Times New Roman"/>
                      <w:b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b/>
                      <w:kern w:val="44"/>
                      <w:szCs w:val="24"/>
                    </w:rPr>
                    <w:t>管理员</w:t>
                  </w:r>
                </w:p>
              </w:tc>
              <w:tc>
                <w:tcPr>
                  <w:tcW w:w="3686" w:type="dxa"/>
                </w:tcPr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『系统管理员』，通过浏览器访问管理中心进行系统管理。</w:t>
                  </w:r>
                </w:p>
              </w:tc>
              <w:tc>
                <w:tcPr>
                  <w:tcW w:w="2527" w:type="dxa"/>
                </w:tcPr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 w:val="18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微软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4"/>
                    </w:rPr>
                    <w:t>Silverlight 5.0</w:t>
                  </w:r>
                  <w:r w:rsidRPr="008263C4">
                    <w:rPr>
                      <w:rFonts w:ascii="宋体" w:eastAsia="宋体" w:hAnsi="宋体" w:cs="Times New Roman" w:hint="eastAsia"/>
                      <w:szCs w:val="18"/>
                    </w:rPr>
                    <w:t>对操作系统和浏览器版本的相关支持，以及Html5的访问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。</w:t>
                  </w:r>
                </w:p>
              </w:tc>
            </w:tr>
          </w:tbl>
          <w:p w:rsidR="000C1670" w:rsidRPr="008263C4" w:rsidRDefault="000C1670">
            <w:pPr>
              <w:pStyle w:val="ListParagraph1"/>
              <w:ind w:firstLineChars="0" w:firstLine="0"/>
              <w:rPr>
                <w:rFonts w:ascii="宋体" w:eastAsia="宋体" w:hAnsi="宋体"/>
                <w:kern w:val="0"/>
                <w:sz w:val="20"/>
              </w:rPr>
            </w:pP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系统的访问模型</w:t>
            </w:r>
          </w:p>
          <w:p w:rsidR="000C1670" w:rsidRPr="008263C4" w:rsidRDefault="00EC1D7D">
            <w:pPr>
              <w:pStyle w:val="ListParagraph1"/>
              <w:ind w:firstLineChars="410" w:firstLine="82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用户的访问模型：用户</w:t>
            </w:r>
            <w:r w:rsidRPr="008263C4">
              <w:rPr>
                <w:rFonts w:ascii="宋体" w:eastAsia="宋体" w:hAnsi="宋体"/>
                <w:kern w:val="0"/>
                <w:sz w:val="20"/>
              </w:rPr>
              <w:t xml:space="preserve"> -&gt; 应用服务器 -&gt;账套数据库</w:t>
            </w:r>
          </w:p>
          <w:p w:rsidR="000C1670" w:rsidRPr="008263C4" w:rsidRDefault="00EC1D7D">
            <w:pPr>
              <w:pStyle w:val="ListParagraph1"/>
              <w:ind w:leftChars="400" w:left="840" w:firstLineChars="0" w:firstLine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管理员的访问模型：管理员</w:t>
            </w:r>
            <w:r w:rsidRPr="008263C4">
              <w:rPr>
                <w:rFonts w:ascii="宋体" w:eastAsia="宋体" w:hAnsi="宋体"/>
                <w:kern w:val="0"/>
                <w:sz w:val="20"/>
              </w:rPr>
              <w:t xml:space="preserve"> -&gt; 管理中心 -&gt; 应用服务器/ 账套数据库/ 管理数据库</w:t>
            </w:r>
          </w:p>
          <w:p w:rsidR="000C1670" w:rsidRPr="008263C4" w:rsidRDefault="00EC1D7D">
            <w:pPr>
              <w:pStyle w:val="ListParagraph1"/>
              <w:ind w:leftChars="400" w:left="840" w:firstLineChars="0" w:firstLine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管理员的部署初始任务：安装系统</w:t>
            </w:r>
            <w:r w:rsidRPr="008263C4">
              <w:rPr>
                <w:rFonts w:ascii="宋体" w:eastAsia="宋体" w:hAnsi="宋体"/>
                <w:kern w:val="0"/>
                <w:sz w:val="20"/>
              </w:rPr>
              <w:t xml:space="preserve"> -&gt; 访问管理站点 -&gt; 新建管理中心 -&gt; 新建账套 -&gt; 注册应用服务器到管理中心（应用服务器和管理中心在同一机器则不需注册）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运行环境</w:t>
            </w:r>
          </w:p>
          <w:p w:rsidR="000C1670" w:rsidRPr="008263C4" w:rsidRDefault="00EC1D7D">
            <w:pPr>
              <w:pStyle w:val="ListParagraph1"/>
              <w:ind w:leftChars="200" w:left="820" w:hangingChars="200" w:hanging="40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 xml:space="preserve">    应用服务器：支持windows Server 2008 R2及以上Server版操作系统运行环境</w:t>
            </w:r>
          </w:p>
          <w:p w:rsidR="000C1670" w:rsidRPr="008263C4" w:rsidRDefault="00EC1D7D">
            <w:pPr>
              <w:pStyle w:val="ListParagraph1"/>
              <w:ind w:leftChars="200" w:left="820" w:hangingChars="200" w:hanging="40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lastRenderedPageBreak/>
              <w:t xml:space="preserve">    数据库：SQL Server 2008 R2及以上数据库版本，或者Oracle 9g及以上数据库版本</w:t>
            </w:r>
          </w:p>
          <w:p w:rsidR="000C1670" w:rsidRPr="008263C4" w:rsidRDefault="000C1670">
            <w:pPr>
              <w:pStyle w:val="ListParagraph1"/>
              <w:ind w:left="780" w:firstLineChars="0" w:firstLine="0"/>
              <w:rPr>
                <w:rFonts w:ascii="宋体" w:eastAsia="宋体" w:hAnsi="宋体"/>
                <w:kern w:val="0"/>
                <w:sz w:val="20"/>
              </w:rPr>
            </w:pP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网络配置</w:t>
            </w:r>
          </w:p>
          <w:tbl>
            <w:tblPr>
              <w:tblW w:w="71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5"/>
              <w:gridCol w:w="4884"/>
            </w:tblGrid>
            <w:tr w:rsidR="000C1670" w:rsidRPr="008263C4">
              <w:trPr>
                <w:trHeight w:val="323"/>
                <w:jc w:val="center"/>
              </w:trPr>
              <w:tc>
                <w:tcPr>
                  <w:tcW w:w="2315" w:type="dxa"/>
                  <w:shd w:val="clear" w:color="auto" w:fill="EEECE1"/>
                  <w:vAlign w:val="center"/>
                </w:tcPr>
                <w:p w:rsidR="000C1670" w:rsidRPr="008263C4" w:rsidRDefault="00EC1D7D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18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b/>
                      <w:bCs/>
                      <w:sz w:val="18"/>
                      <w:szCs w:val="24"/>
                    </w:rPr>
                    <w:t>用途</w:t>
                  </w:r>
                </w:p>
              </w:tc>
              <w:tc>
                <w:tcPr>
                  <w:tcW w:w="4884" w:type="dxa"/>
                  <w:shd w:val="clear" w:color="auto" w:fill="EEECE1"/>
                  <w:vAlign w:val="center"/>
                </w:tcPr>
                <w:p w:rsidR="000C1670" w:rsidRPr="008263C4" w:rsidRDefault="00EC1D7D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18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b/>
                      <w:bCs/>
                      <w:sz w:val="18"/>
                      <w:szCs w:val="24"/>
                    </w:rPr>
                    <w:t>配置基准值</w:t>
                  </w:r>
                </w:p>
              </w:tc>
            </w:tr>
            <w:tr w:rsidR="000C1670" w:rsidRPr="008263C4">
              <w:trPr>
                <w:trHeight w:val="483"/>
                <w:jc w:val="center"/>
              </w:trPr>
              <w:tc>
                <w:tcPr>
                  <w:tcW w:w="2315" w:type="dxa"/>
                  <w:vAlign w:val="center"/>
                </w:tcPr>
                <w:p w:rsidR="000C1670" w:rsidRPr="008263C4" w:rsidRDefault="00EC1D7D">
                  <w:pPr>
                    <w:jc w:val="center"/>
                    <w:rPr>
                      <w:rFonts w:ascii="宋体" w:eastAsia="宋体" w:hAnsi="宋体" w:cs="Times New Roman"/>
                      <w:sz w:val="18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各服务器之间</w:t>
                  </w:r>
                </w:p>
              </w:tc>
              <w:tc>
                <w:tcPr>
                  <w:tcW w:w="4884" w:type="dxa"/>
                </w:tcPr>
                <w:p w:rsidR="000C1670" w:rsidRPr="008263C4" w:rsidRDefault="00EC1D7D">
                  <w:pPr>
                    <w:jc w:val="left"/>
                    <w:rPr>
                      <w:rFonts w:ascii="宋体" w:eastAsia="宋体" w:hAnsi="宋体" w:cs="Times New Roman"/>
                      <w:sz w:val="18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千兆以太网（</w:t>
                  </w:r>
                  <w:r w:rsidRPr="008263C4">
                    <w:rPr>
                      <w:rFonts w:ascii="宋体" w:eastAsia="宋体" w:hAnsi="宋体" w:cs="Times New Roman"/>
                      <w:sz w:val="18"/>
                      <w:szCs w:val="24"/>
                    </w:rPr>
                    <w:t>Gigabit Ethernet</w:t>
                  </w: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）</w:t>
                  </w:r>
                </w:p>
              </w:tc>
            </w:tr>
            <w:tr w:rsidR="000C1670" w:rsidRPr="008263C4">
              <w:trPr>
                <w:trHeight w:val="483"/>
                <w:jc w:val="center"/>
              </w:trPr>
              <w:tc>
                <w:tcPr>
                  <w:tcW w:w="2315" w:type="dxa"/>
                  <w:vAlign w:val="center"/>
                </w:tcPr>
                <w:p w:rsidR="000C1670" w:rsidRPr="008263C4" w:rsidRDefault="00EC1D7D">
                  <w:pPr>
                    <w:jc w:val="center"/>
                    <w:rPr>
                      <w:rFonts w:ascii="宋体" w:eastAsia="宋体" w:hAnsi="宋体" w:cs="Times New Roman"/>
                      <w:sz w:val="18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客户端和应用服务器之间</w:t>
                  </w:r>
                </w:p>
              </w:tc>
              <w:tc>
                <w:tcPr>
                  <w:tcW w:w="4884" w:type="dxa"/>
                </w:tcPr>
                <w:p w:rsidR="000C1670" w:rsidRPr="008263C4" w:rsidRDefault="00EC1D7D">
                  <w:pPr>
                    <w:jc w:val="left"/>
                    <w:rPr>
                      <w:rFonts w:ascii="宋体" w:eastAsia="宋体" w:hAnsi="宋体" w:cs="Times New Roman"/>
                      <w:sz w:val="18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客户端有效带宽：最低</w:t>
                  </w:r>
                  <w:r w:rsidRPr="008263C4">
                    <w:rPr>
                      <w:rFonts w:ascii="宋体" w:eastAsia="宋体" w:hAnsi="宋体" w:cs="Times New Roman"/>
                      <w:sz w:val="18"/>
                      <w:szCs w:val="24"/>
                    </w:rPr>
                    <w:t>256 Kbps</w:t>
                  </w: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，推荐</w:t>
                  </w:r>
                  <w:r w:rsidRPr="008263C4">
                    <w:rPr>
                      <w:rFonts w:ascii="宋体" w:eastAsia="宋体" w:hAnsi="宋体" w:cs="Times New Roman"/>
                      <w:sz w:val="18"/>
                      <w:szCs w:val="24"/>
                    </w:rPr>
                    <w:t>1.0 Mbps</w:t>
                  </w: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或以上</w:t>
                  </w:r>
                </w:p>
                <w:p w:rsidR="000C1670" w:rsidRPr="008263C4" w:rsidRDefault="00EC1D7D">
                  <w:pPr>
                    <w:jc w:val="left"/>
                    <w:rPr>
                      <w:rFonts w:ascii="宋体" w:eastAsia="宋体" w:hAnsi="宋体" w:cs="Times New Roman"/>
                      <w:sz w:val="18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服务器出口带宽：（并发客户端数</w:t>
                  </w:r>
                  <w:r w:rsidRPr="008263C4">
                    <w:rPr>
                      <w:rFonts w:ascii="宋体" w:eastAsia="宋体" w:hAnsi="宋体" w:cs="Times New Roman"/>
                      <w:sz w:val="18"/>
                      <w:szCs w:val="24"/>
                    </w:rPr>
                    <w:t>/5</w:t>
                  </w: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）×</w:t>
                  </w:r>
                  <w:r w:rsidRPr="008263C4">
                    <w:rPr>
                      <w:rFonts w:ascii="宋体" w:eastAsia="宋体" w:hAnsi="宋体" w:cs="Times New Roman"/>
                      <w:sz w:val="18"/>
                      <w:szCs w:val="24"/>
                    </w:rPr>
                    <w:t>1.0 Mbps</w:t>
                  </w:r>
                </w:p>
                <w:p w:rsidR="000C1670" w:rsidRPr="008263C4" w:rsidRDefault="00EC1D7D">
                  <w:pPr>
                    <w:jc w:val="left"/>
                    <w:rPr>
                      <w:rFonts w:ascii="宋体" w:eastAsia="宋体" w:hAnsi="宋体" w:cs="Times New Roman"/>
                      <w:sz w:val="18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局域网网络延时：</w:t>
                  </w:r>
                  <w:r w:rsidRPr="008263C4">
                    <w:rPr>
                      <w:rFonts w:ascii="宋体" w:eastAsia="宋体" w:hAnsi="宋体" w:cs="Times New Roman"/>
                      <w:sz w:val="18"/>
                      <w:szCs w:val="24"/>
                    </w:rPr>
                    <w:t xml:space="preserve">&lt;20ms   </w:t>
                  </w: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广域网网络延时：</w:t>
                  </w:r>
                  <w:r w:rsidRPr="008263C4">
                    <w:rPr>
                      <w:rFonts w:ascii="宋体" w:eastAsia="宋体" w:hAnsi="宋体" w:cs="Times New Roman"/>
                      <w:sz w:val="18"/>
                      <w:szCs w:val="24"/>
                    </w:rPr>
                    <w:t>&lt;100ms</w:t>
                  </w:r>
                </w:p>
                <w:p w:rsidR="000C1670" w:rsidRPr="008263C4" w:rsidRDefault="00EC1D7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0" w:lineRule="atLeast"/>
                    <w:jc w:val="left"/>
                    <w:rPr>
                      <w:rFonts w:ascii="宋体" w:eastAsia="宋体" w:hAnsi="宋体" w:cs="Times New Roman"/>
                      <w:sz w:val="18"/>
                      <w:szCs w:val="24"/>
                    </w:rPr>
                  </w:pPr>
                  <w:r w:rsidRPr="008263C4">
                    <w:rPr>
                      <w:rFonts w:ascii="宋体" w:eastAsia="宋体" w:hAnsi="宋体" w:cs="宋体" w:hint="eastAsia"/>
                      <w:kern w:val="0"/>
                      <w:sz w:val="18"/>
                      <w:szCs w:val="24"/>
                    </w:rPr>
                    <w:t>局域网网络丢</w:t>
                  </w: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包率：</w:t>
                  </w:r>
                  <w:r w:rsidRPr="008263C4">
                    <w:rPr>
                      <w:rFonts w:ascii="宋体" w:eastAsia="宋体" w:hAnsi="宋体" w:cs="Times New Roman"/>
                      <w:sz w:val="18"/>
                      <w:szCs w:val="24"/>
                    </w:rPr>
                    <w:t xml:space="preserve">&lt;0.1% </w:t>
                  </w:r>
                  <w:r w:rsidRPr="008263C4">
                    <w:rPr>
                      <w:rFonts w:ascii="宋体" w:eastAsia="宋体" w:hAnsi="宋体" w:cs="宋体" w:hint="eastAsia"/>
                      <w:kern w:val="0"/>
                      <w:sz w:val="18"/>
                      <w:szCs w:val="24"/>
                    </w:rPr>
                    <w:t>广域网网络丢</w:t>
                  </w: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包率：</w:t>
                  </w:r>
                  <w:r w:rsidRPr="008263C4">
                    <w:rPr>
                      <w:rFonts w:ascii="宋体" w:eastAsia="宋体" w:hAnsi="宋体" w:cs="Times New Roman"/>
                      <w:sz w:val="18"/>
                      <w:szCs w:val="24"/>
                    </w:rPr>
                    <w:t>&lt;2%</w:t>
                  </w:r>
                </w:p>
                <w:p w:rsidR="000C1670" w:rsidRPr="008263C4" w:rsidRDefault="00EC1D7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0" w:lineRule="atLeast"/>
                    <w:jc w:val="left"/>
                    <w:rPr>
                      <w:rFonts w:ascii="宋体" w:eastAsia="宋体" w:hAnsi="宋体" w:cs="Times New Roman"/>
                      <w:sz w:val="18"/>
                      <w:szCs w:val="24"/>
                    </w:rPr>
                  </w:pPr>
                  <w:r w:rsidRPr="008263C4">
                    <w:rPr>
                      <w:rFonts w:ascii="宋体" w:eastAsia="宋体" w:hAnsi="宋体" w:cs="宋体" w:hint="eastAsia"/>
                      <w:kern w:val="0"/>
                      <w:sz w:val="18"/>
                      <w:szCs w:val="24"/>
                    </w:rPr>
                    <w:t>（如果网络存在丢包或者较高延迟现象，使用过程中可能会提示网络错误，但提示后仍然可以继续使用）</w:t>
                  </w:r>
                </w:p>
              </w:tc>
            </w:tr>
          </w:tbl>
          <w:p w:rsidR="000C1670" w:rsidRPr="008263C4" w:rsidRDefault="000C1670">
            <w:pPr>
              <w:pStyle w:val="ListParagraph1"/>
              <w:ind w:left="780" w:firstLineChars="0" w:firstLine="0"/>
              <w:rPr>
                <w:rFonts w:ascii="宋体" w:eastAsia="宋体" w:hAnsi="宋体"/>
                <w:kern w:val="0"/>
                <w:sz w:val="20"/>
              </w:rPr>
            </w:pP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安全要求</w:t>
            </w:r>
          </w:p>
          <w:p w:rsidR="000C1670" w:rsidRPr="008263C4" w:rsidRDefault="00EC1D7D" w:rsidP="00E81711">
            <w:pPr>
              <w:pStyle w:val="ListParagraph1"/>
              <w:ind w:firstLine="40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软件需要拦截XSS攻击配置、保护Cookie的安全设置、防止网站被别的站点iframe嵌套配置、SQL</w:t>
            </w:r>
            <w:r w:rsidR="00E81711">
              <w:rPr>
                <w:rFonts w:ascii="宋体" w:eastAsia="宋体" w:hAnsi="宋体" w:hint="eastAsia"/>
                <w:kern w:val="0"/>
                <w:sz w:val="20"/>
              </w:rPr>
              <w:t>注入拦截配置、上传文件白名单配置</w:t>
            </w:r>
            <w:r w:rsidRPr="008263C4">
              <w:rPr>
                <w:rFonts w:ascii="宋体" w:eastAsia="宋体" w:hAnsi="宋体" w:hint="eastAsia"/>
                <w:kern w:val="0"/>
                <w:sz w:val="20"/>
              </w:rPr>
              <w:t>等；</w:t>
            </w:r>
            <w:r w:rsidR="00E81711">
              <w:rPr>
                <w:rFonts w:ascii="宋体" w:eastAsia="宋体" w:hAnsi="宋体" w:hint="eastAsia"/>
                <w:kern w:val="0"/>
                <w:sz w:val="20"/>
              </w:rPr>
              <w:t>安全防护如杀毒软件、防火墙</w:t>
            </w:r>
            <w:r w:rsidRPr="008263C4">
              <w:rPr>
                <w:rFonts w:ascii="宋体" w:eastAsia="宋体" w:hAnsi="宋体" w:hint="eastAsia"/>
                <w:kern w:val="0"/>
                <w:sz w:val="20"/>
              </w:rPr>
              <w:t>等</w:t>
            </w:r>
            <w:r w:rsidR="00E81711">
              <w:rPr>
                <w:rFonts w:ascii="宋体" w:eastAsia="宋体" w:hAnsi="宋体" w:hint="eastAsia"/>
                <w:kern w:val="0"/>
                <w:sz w:val="20"/>
              </w:rPr>
              <w:t>。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其他要求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产品资质：符合国家财政部、工信部软件资质要求；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厂家资信：国内主流ERP软件供应厂商；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授权：注册用户模式；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售后服务：7*24小时在线服务+本地上门服务</w:t>
            </w:r>
            <w:r w:rsidR="008263C4" w:rsidRPr="008263C4">
              <w:rPr>
                <w:rFonts w:ascii="宋体" w:eastAsia="宋体" w:hAnsi="宋体" w:hint="eastAsia"/>
                <w:kern w:val="0"/>
                <w:sz w:val="20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670" w:rsidRPr="008263C4" w:rsidRDefault="00EC1D7D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1套</w:t>
            </w:r>
          </w:p>
        </w:tc>
      </w:tr>
      <w:tr w:rsidR="000C1670" w:rsidRPr="008263C4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70" w:rsidRPr="008263C4" w:rsidRDefault="00EC1D7D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本包投标人资质和要求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670" w:rsidRPr="008263C4" w:rsidRDefault="00EC1D7D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  <w:szCs w:val="20"/>
              </w:rPr>
              <w:t>投标人的资质和要求</w:t>
            </w:r>
          </w:p>
          <w:p w:rsidR="000C1670" w:rsidRPr="008263C4" w:rsidRDefault="00EC1D7D">
            <w:pPr>
              <w:numPr>
                <w:ilvl w:val="0"/>
                <w:numId w:val="4"/>
              </w:numPr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26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供应商必须具有软件的自主知识产权或代理资质</w:t>
            </w:r>
            <w:r w:rsidRPr="008263C4">
              <w:rPr>
                <w:rFonts w:ascii="宋体" w:eastAsia="宋体" w:hAnsi="宋体" w:hint="eastAsia"/>
                <w:kern w:val="0"/>
                <w:sz w:val="20"/>
                <w:szCs w:val="20"/>
              </w:rPr>
              <w:t>；</w:t>
            </w:r>
          </w:p>
          <w:p w:rsidR="000C1670" w:rsidRPr="008263C4" w:rsidRDefault="00EC1D7D">
            <w:pPr>
              <w:numPr>
                <w:ilvl w:val="0"/>
                <w:numId w:val="4"/>
              </w:numPr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  <w:szCs w:val="20"/>
              </w:rPr>
              <w:t>供应商必须具有独立法人资格，具有有效的营业执照、组织机构代码证、税务登记证（或三证合一证书）；</w:t>
            </w:r>
          </w:p>
          <w:p w:rsidR="000C1670" w:rsidRPr="008263C4" w:rsidRDefault="00EC1D7D" w:rsidP="00071D9A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26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交货地点：</w:t>
            </w:r>
            <w:r w:rsidR="00071D9A" w:rsidRPr="008263C4">
              <w:rPr>
                <w:rFonts w:ascii="宋体" w:eastAsia="宋体" w:hAnsi="宋体" w:hint="eastAsia"/>
                <w:kern w:val="0"/>
                <w:sz w:val="20"/>
                <w:szCs w:val="20"/>
              </w:rPr>
              <w:t>校方指定地点。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670" w:rsidRPr="008263C4" w:rsidRDefault="000C1670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</w:tbl>
    <w:p w:rsidR="000C1670" w:rsidRPr="008263C4" w:rsidRDefault="000C1670">
      <w:pPr>
        <w:rPr>
          <w:rFonts w:ascii="宋体" w:eastAsia="宋体" w:hAnsi="宋体"/>
        </w:rPr>
      </w:pPr>
    </w:p>
    <w:sectPr w:rsidR="000C1670" w:rsidRPr="00826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196" w:rsidRDefault="003D7196" w:rsidP="00071D9A">
      <w:r>
        <w:separator/>
      </w:r>
    </w:p>
  </w:endnote>
  <w:endnote w:type="continuationSeparator" w:id="0">
    <w:p w:rsidR="003D7196" w:rsidRDefault="003D7196" w:rsidP="0007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196" w:rsidRDefault="003D7196" w:rsidP="00071D9A">
      <w:r>
        <w:separator/>
      </w:r>
    </w:p>
  </w:footnote>
  <w:footnote w:type="continuationSeparator" w:id="0">
    <w:p w:rsidR="003D7196" w:rsidRDefault="003D7196" w:rsidP="00071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C7EB90"/>
    <w:multiLevelType w:val="singleLevel"/>
    <w:tmpl w:val="A3C7EB9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9B12528"/>
    <w:multiLevelType w:val="multilevel"/>
    <w:tmpl w:val="29B12528"/>
    <w:lvl w:ilvl="0">
      <w:start w:val="1"/>
      <w:numFmt w:val="decimal"/>
      <w:lvlText w:val="%1、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9F300EA"/>
    <w:multiLevelType w:val="multilevel"/>
    <w:tmpl w:val="29F300EA"/>
    <w:lvl w:ilvl="0">
      <w:start w:val="1"/>
      <w:numFmt w:val="japaneseCounting"/>
      <w:lvlText w:val="%1、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EB06C5F"/>
    <w:multiLevelType w:val="multilevel"/>
    <w:tmpl w:val="7EB06C5F"/>
    <w:lvl w:ilvl="0">
      <w:start w:val="1"/>
      <w:numFmt w:val="decimal"/>
      <w:lvlText w:val="%1、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2B"/>
    <w:rsid w:val="00071D9A"/>
    <w:rsid w:val="000C1670"/>
    <w:rsid w:val="000D59D0"/>
    <w:rsid w:val="003D7196"/>
    <w:rsid w:val="008263C4"/>
    <w:rsid w:val="008722D0"/>
    <w:rsid w:val="00930899"/>
    <w:rsid w:val="0094518D"/>
    <w:rsid w:val="0098527C"/>
    <w:rsid w:val="00A86200"/>
    <w:rsid w:val="00B02C9C"/>
    <w:rsid w:val="00B169D0"/>
    <w:rsid w:val="00C414EB"/>
    <w:rsid w:val="00D5472B"/>
    <w:rsid w:val="00DD73F0"/>
    <w:rsid w:val="00E81711"/>
    <w:rsid w:val="00EC1D7D"/>
    <w:rsid w:val="00F271AD"/>
    <w:rsid w:val="1EC87FE6"/>
    <w:rsid w:val="24DD058B"/>
    <w:rsid w:val="28EA1EF2"/>
    <w:rsid w:val="4F8F518C"/>
    <w:rsid w:val="6B95295A"/>
    <w:rsid w:val="74D8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72A4A"/>
  <w15:docId w15:val="{6D96207B-5B3F-4FE5-AD4B-B040D0DD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9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等线" w:eastAsia="等线" w:hAnsi="等线" w:cs="Times New Roman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71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71D9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71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71D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阳</dc:creator>
  <cp:lastModifiedBy>xuyan</cp:lastModifiedBy>
  <cp:revision>4</cp:revision>
  <dcterms:created xsi:type="dcterms:W3CDTF">2020-11-23T07:22:00Z</dcterms:created>
  <dcterms:modified xsi:type="dcterms:W3CDTF">2020-11-29T00:26:00Z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